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纸质版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原件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eastAsia="zh-CN"/>
        </w:rPr>
        <w:t>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highlight w:val="none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  <w:t>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六、面试人员面试结束后要立即离开考场，由工作人员引领离开考点。面试结束后的试题为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  <w:highlight w:val="none"/>
        </w:rPr>
        <w:t>工作秘密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highlight w:val="none"/>
        </w:rPr>
        <w:t>，不得对外透露、传播面试试题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6"/>
          <w:szCs w:val="36"/>
          <w:highlight w:val="none"/>
          <w:lang w:val="en-US" w:eastAsia="zh-CN"/>
        </w:rPr>
        <w:t>“灯塔—泰山先锋”网站（http://www.dtts.gov.cn）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“录用公务员专栏”发布。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zk0NGNkNTFlMTA4NWM3MTdjNDQyODI1ZmU1NGQifQ=="/>
  </w:docVars>
  <w:rsids>
    <w:rsidRoot w:val="5345509D"/>
    <w:rsid w:val="40C21D4C"/>
    <w:rsid w:val="5345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2024-01-17T10:29:00Z</dcterms:created>
  <dc:creator>悦笛</dc:creator>
  <cp:lastModifiedBy>悦笛</cp:lastModifiedBy>
  <dcterms:modified xsi:type="dcterms:W3CDTF">2024-01-17T10:30:00Z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33678999009A4F528EFB189C4AB7D1E2_11</vt:lpwstr>
  </property>
</Properties>
</file>