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424242"/>
                <w:sz w:val="39"/>
                <w:szCs w:val="39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424242"/>
                <w:kern w:val="0"/>
                <w:sz w:val="39"/>
                <w:szCs w:val="39"/>
                <w:bdr w:val="none" w:color="auto" w:sz="0" w:space="0"/>
                <w:lang w:val="en-US" w:eastAsia="zh-CN" w:bidi="ar"/>
              </w:rPr>
              <w:t>2022年汶上县事业单位 “优才计划”（综合类）报名统计（截止2022年2月21日17点）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pBdr>
                <w:top w:val="single" w:color="343434" w:sz="12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85" w:lineRule="atLeast"/>
              <w:ind w:left="0" w:right="0"/>
              <w:jc w:val="center"/>
              <w:rPr>
                <w:color w:val="343434"/>
              </w:rPr>
            </w:pPr>
            <w:r>
              <w:rPr>
                <w:rFonts w:ascii="微软雅黑" w:hAnsi="微软雅黑" w:eastAsia="微软雅黑" w:cs="微软雅黑"/>
                <w:color w:val="424242"/>
                <w:sz w:val="39"/>
                <w:szCs w:val="39"/>
              </w:rPr>
              <w:pict>
                <v:rect id="_x0000_i1025" o:spt="1" style="height:1.5pt;width:432pt;" fillcolor="#343434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tbl>
            <w:tblPr>
              <w:tblW w:w="5000" w:type="pct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56"/>
              <w:gridCol w:w="3742"/>
              <w:gridCol w:w="374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700" w:type="pct"/>
                  <w:shd w:val="clear"/>
                  <w:tcMar>
                    <w:left w:w="169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发布日期：2022-02-21 17:30</w:t>
                  </w:r>
                </w:p>
              </w:tc>
              <w:tc>
                <w:tcPr>
                  <w:tcW w:w="4560" w:type="dxa"/>
                  <w:shd w:val="clear"/>
                  <w:tcMar>
                    <w:left w:w="184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浏览次数:567</w:t>
                  </w:r>
                </w:p>
              </w:tc>
              <w:tc>
                <w:tcPr>
                  <w:tcW w:w="1650" w:type="pct"/>
                  <w:shd w:val="clear"/>
                  <w:tcMar>
                    <w:left w:w="9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字体：[ </w:t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"javascript:doZoom(16)" </w:instrText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大</w:t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"javascript:doZoom(14)" </w:instrText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中</w:t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"javascript:doZoom(12)" </w:instrText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eastAsia" w:ascii="微软雅黑" w:hAnsi="微软雅黑" w:eastAsia="微软雅黑" w:cs="微软雅黑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小</w:t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eastAsia" w:ascii="微软雅黑" w:hAnsi="微软雅黑" w:eastAsia="微软雅黑" w:cs="微软雅黑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]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tbl>
            <w:tblPr>
              <w:tblW w:w="8370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96"/>
              <w:gridCol w:w="814"/>
              <w:gridCol w:w="1260"/>
              <w:gridCol w:w="1065"/>
              <w:gridCol w:w="10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5" w:hRule="atLeast"/>
              </w:trPr>
              <w:tc>
                <w:tcPr>
                  <w:tcW w:w="8370" w:type="dxa"/>
                  <w:gridSpan w:val="5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2022年汶上县事业单位 “优才计划”（综合类）报名统计（截止2022年2月21日17点）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引才单位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计划人数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报考人数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通过人数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汶上县纪委监委网络管理中心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汶上县新时代文明实践服务中心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汶上县法制教育中心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汶上县社会治安综合治理服务中心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中共汶上县委党校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汶上县档案馆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汶上县社会治理服务中心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汶上县绩效评价中心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汶上县大数据中心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汶上县经济社会发展研究中心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汶上县教育保障服务中心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汶上县非公有制经济发展服务中心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汶上县产业集群发展中心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汶上县未成年人救助保护中心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汶上县财政保障中心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汶上县不动产登记中心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汶上县规划事务中心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汶上县住房保障和房地产发展中心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汶上县港航事业发展服务中心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汶上县水利工程运行维护中心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汶上县对外劳务合作中心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汶上县爱国卫生和健康促进中心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汶上县应急保障服务中心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汶上县审计服务中心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24综合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汶上县政务服务中心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25综合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汶上县知识产权事业发展中心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汶上县城市运行管理服务中心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汶上县统计数据中心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汶上县信访事务服务中心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汶上县商贸物流发展中心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汶上县投资促进服务中心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31综合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济宁市公共资源交易服务中心汶上分中心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32综合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0" w:type="auto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12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283" w:right="283" w:bottom="283" w:left="28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36769"/>
    <w:rsid w:val="4903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2022-02-22T01:05:00Z</dcterms:created>
  <dc:creator>祝</dc:creator>
  <cp:lastModifiedBy>祝</cp:lastModifiedBy>
  <dcterms:modified xsi:type="dcterms:W3CDTF">2022-02-22T06:26:28Z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7860069BA10A4DB9832D1E8D69CD2E64</vt:lpwstr>
  </property>
</Properties>
</file>